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90145A" w14:textId="77777777" w:rsidR="0094504A" w:rsidRPr="0098484B" w:rsidRDefault="00856E21">
      <w:pPr>
        <w:pStyle w:val="MdHeading1"/>
        <w:rPr>
          <w:rFonts w:asciiTheme="minorHAnsi" w:hAnsiTheme="minorHAnsi" w:cstheme="minorHAnsi"/>
        </w:rPr>
      </w:pPr>
      <w:r w:rsidRPr="0098484B">
        <w:rPr>
          <w:rFonts w:asciiTheme="minorHAnsi" w:hAnsiTheme="minorHAnsi" w:cstheme="minorHAnsi"/>
        </w:rPr>
        <w:t>Sorbier des Oiseleurs (</w:t>
      </w:r>
      <w:proofErr w:type="spellStart"/>
      <w:r w:rsidRPr="0098484B">
        <w:rPr>
          <w:rFonts w:asciiTheme="minorHAnsi" w:hAnsiTheme="minorHAnsi" w:cstheme="minorHAnsi"/>
        </w:rPr>
        <w:t>Sorbus</w:t>
      </w:r>
      <w:proofErr w:type="spellEnd"/>
      <w:r w:rsidRPr="0098484B">
        <w:rPr>
          <w:rFonts w:asciiTheme="minorHAnsi" w:hAnsiTheme="minorHAnsi" w:cstheme="minorHAnsi"/>
        </w:rPr>
        <w:t xml:space="preserve"> </w:t>
      </w:r>
      <w:proofErr w:type="spellStart"/>
      <w:r w:rsidRPr="0098484B">
        <w:rPr>
          <w:rFonts w:asciiTheme="minorHAnsi" w:hAnsiTheme="minorHAnsi" w:cstheme="minorHAnsi"/>
        </w:rPr>
        <w:t>aucuparia</w:t>
      </w:r>
      <w:proofErr w:type="spellEnd"/>
      <w:r w:rsidRPr="0098484B">
        <w:rPr>
          <w:rFonts w:asciiTheme="minorHAnsi" w:hAnsiTheme="minorHAnsi" w:cstheme="minorHAnsi"/>
        </w:rPr>
        <w:t>)</w:t>
      </w:r>
    </w:p>
    <w:p w14:paraId="76698780" w14:textId="77777777" w:rsidR="0094504A" w:rsidRPr="00715B1F" w:rsidRDefault="00856E21">
      <w:pPr>
        <w:pStyle w:val="MdHeading2"/>
        <w:rPr>
          <w:rFonts w:asciiTheme="minorHAnsi" w:hAnsiTheme="minorHAnsi" w:cstheme="minorHAnsi"/>
          <w:sz w:val="28"/>
          <w:szCs w:val="28"/>
        </w:rPr>
      </w:pPr>
      <w:r w:rsidRPr="00715B1F">
        <w:rPr>
          <w:rFonts w:asciiTheme="minorHAnsi" w:hAnsiTheme="minorHAnsi" w:cstheme="minorHAnsi"/>
          <w:sz w:val="28"/>
          <w:szCs w:val="28"/>
        </w:rPr>
        <w:t>Description</w:t>
      </w:r>
    </w:p>
    <w:p w14:paraId="552FF736" w14:textId="6B663630" w:rsidR="0094504A" w:rsidRPr="0098484B" w:rsidRDefault="00856E21" w:rsidP="00715B1F">
      <w:pPr>
        <w:pStyle w:val="MdParagraph"/>
        <w:rPr>
          <w:rFonts w:asciiTheme="minorHAnsi" w:hAnsiTheme="minorHAnsi" w:cstheme="minorHAnsi"/>
        </w:rPr>
      </w:pPr>
      <w:r w:rsidRPr="0098484B">
        <w:rPr>
          <w:rFonts w:asciiTheme="minorHAnsi" w:hAnsiTheme="minorHAnsi" w:cstheme="minorHAnsi"/>
        </w:rPr>
        <w:t>Le sorbier des oiseleurs est un arbre de taille moyenne, pouvant atteindre 5 à 10 mètres de hauteur, apprécié pour sa floraison printanière blanche et ses grappes de baies rouges-orangées très décoratives en automne. Ces baies, comestibles après cuisson, sont une source de nourriture importante pour les oiseaux. C'est un arbre rustique et facile d'entretien.</w:t>
      </w:r>
    </w:p>
    <w:p w14:paraId="2C2BB4C6" w14:textId="77777777" w:rsidR="0094504A" w:rsidRPr="00715B1F" w:rsidRDefault="00856E21">
      <w:pPr>
        <w:pStyle w:val="MdHeading2"/>
        <w:rPr>
          <w:rFonts w:asciiTheme="minorHAnsi" w:hAnsiTheme="minorHAnsi" w:cstheme="minorHAnsi"/>
          <w:sz w:val="28"/>
          <w:szCs w:val="28"/>
        </w:rPr>
      </w:pPr>
      <w:r w:rsidRPr="00715B1F">
        <w:rPr>
          <w:rFonts w:asciiTheme="minorHAnsi" w:hAnsiTheme="minorHAnsi" w:cstheme="minorHAnsi"/>
          <w:sz w:val="28"/>
          <w:szCs w:val="28"/>
        </w:rPr>
        <w:t>Conditions de Culture</w:t>
      </w:r>
    </w:p>
    <w:p w14:paraId="23C2E7D3" w14:textId="77777777" w:rsidR="0094504A" w:rsidRPr="0098484B" w:rsidRDefault="00856E21">
      <w:pPr>
        <w:pStyle w:val="MdListItem"/>
        <w:numPr>
          <w:ilvl w:val="0"/>
          <w:numId w:val="2"/>
        </w:numPr>
        <w:rPr>
          <w:rFonts w:asciiTheme="minorHAnsi" w:hAnsiTheme="minorHAnsi" w:cstheme="minorHAnsi"/>
        </w:rPr>
      </w:pPr>
      <w:r w:rsidRPr="0098484B">
        <w:rPr>
          <w:rStyle w:val="MdStrong"/>
          <w:rFonts w:asciiTheme="minorHAnsi" w:hAnsiTheme="minorHAnsi" w:cstheme="minorHAnsi"/>
        </w:rPr>
        <w:t>Exposition :</w:t>
      </w:r>
      <w:r w:rsidRPr="0098484B">
        <w:rPr>
          <w:rFonts w:asciiTheme="minorHAnsi" w:hAnsiTheme="minorHAnsi" w:cstheme="minorHAnsi"/>
        </w:rPr>
        <w:t xml:space="preserve"> Plein soleil à mi-ombre. Préfère le plein soleil pour une meilleure fructification.</w:t>
      </w:r>
    </w:p>
    <w:p w14:paraId="07443F9B" w14:textId="77777777" w:rsidR="0094504A" w:rsidRPr="0098484B" w:rsidRDefault="00856E21">
      <w:pPr>
        <w:pStyle w:val="MdListItem"/>
        <w:numPr>
          <w:ilvl w:val="0"/>
          <w:numId w:val="2"/>
        </w:numPr>
        <w:rPr>
          <w:rFonts w:asciiTheme="minorHAnsi" w:hAnsiTheme="minorHAnsi" w:cstheme="minorHAnsi"/>
        </w:rPr>
      </w:pPr>
      <w:r w:rsidRPr="0098484B">
        <w:rPr>
          <w:rStyle w:val="MdStrong"/>
          <w:rFonts w:asciiTheme="minorHAnsi" w:hAnsiTheme="minorHAnsi" w:cstheme="minorHAnsi"/>
        </w:rPr>
        <w:t>Sol :</w:t>
      </w:r>
      <w:r w:rsidRPr="0098484B">
        <w:rPr>
          <w:rFonts w:asciiTheme="minorHAnsi" w:hAnsiTheme="minorHAnsi" w:cstheme="minorHAnsi"/>
        </w:rPr>
        <w:t xml:space="preserve"> S'adapte à la plupart des sols, à condition qu'ils soient bien drainés et frais. Évite les sols trop secs ou trop compacts.</w:t>
      </w:r>
    </w:p>
    <w:p w14:paraId="6048C864" w14:textId="77777777" w:rsidR="0094504A" w:rsidRPr="0098484B" w:rsidRDefault="00856E21">
      <w:pPr>
        <w:pStyle w:val="MdListItem"/>
        <w:numPr>
          <w:ilvl w:val="0"/>
          <w:numId w:val="2"/>
        </w:numPr>
        <w:rPr>
          <w:rFonts w:asciiTheme="minorHAnsi" w:hAnsiTheme="minorHAnsi" w:cstheme="minorHAnsi"/>
        </w:rPr>
      </w:pPr>
      <w:r w:rsidRPr="0098484B">
        <w:rPr>
          <w:rStyle w:val="MdStrong"/>
          <w:rFonts w:asciiTheme="minorHAnsi" w:hAnsiTheme="minorHAnsi" w:cstheme="minorHAnsi"/>
        </w:rPr>
        <w:t>Arrosage :</w:t>
      </w:r>
      <w:r w:rsidRPr="0098484B">
        <w:rPr>
          <w:rFonts w:asciiTheme="minorHAnsi" w:hAnsiTheme="minorHAnsi" w:cstheme="minorHAnsi"/>
        </w:rPr>
        <w:t xml:space="preserve"> Régulier la première année après la plantation. Une fois établi, il supporte une certaine sécheresse mais apprécie un sol frais.</w:t>
      </w:r>
    </w:p>
    <w:p w14:paraId="633C8F2D" w14:textId="77777777" w:rsidR="0094504A" w:rsidRPr="0098484B" w:rsidRDefault="00856E21">
      <w:pPr>
        <w:pStyle w:val="MdListItem"/>
        <w:numPr>
          <w:ilvl w:val="0"/>
          <w:numId w:val="2"/>
        </w:numPr>
        <w:rPr>
          <w:rFonts w:asciiTheme="minorHAnsi" w:hAnsiTheme="minorHAnsi" w:cstheme="minorHAnsi"/>
        </w:rPr>
      </w:pPr>
      <w:r w:rsidRPr="0098484B">
        <w:rPr>
          <w:rStyle w:val="MdStrong"/>
          <w:rFonts w:asciiTheme="minorHAnsi" w:hAnsiTheme="minorHAnsi" w:cstheme="minorHAnsi"/>
        </w:rPr>
        <w:t>Taille :</w:t>
      </w:r>
      <w:r w:rsidRPr="0098484B">
        <w:rPr>
          <w:rFonts w:asciiTheme="minorHAnsi" w:hAnsiTheme="minorHAnsi" w:cstheme="minorHAnsi"/>
        </w:rPr>
        <w:t xml:space="preserve"> Ne nécessite pas de taille particulière, sauf pour supprimer le bois mort ou les branches mal placées. La taille se fait en hiver.</w:t>
      </w:r>
    </w:p>
    <w:p w14:paraId="2AFE40D1" w14:textId="2331B0B0" w:rsidR="0094504A" w:rsidRPr="00715B1F" w:rsidRDefault="00856E21" w:rsidP="00715B1F">
      <w:pPr>
        <w:pStyle w:val="MdListItem"/>
        <w:numPr>
          <w:ilvl w:val="0"/>
          <w:numId w:val="2"/>
        </w:numPr>
        <w:rPr>
          <w:rFonts w:asciiTheme="minorHAnsi" w:hAnsiTheme="minorHAnsi" w:cstheme="minorHAnsi"/>
        </w:rPr>
      </w:pPr>
      <w:r w:rsidRPr="0098484B">
        <w:rPr>
          <w:rStyle w:val="MdStrong"/>
          <w:rFonts w:asciiTheme="minorHAnsi" w:hAnsiTheme="minorHAnsi" w:cstheme="minorHAnsi"/>
        </w:rPr>
        <w:t>Rusticité :</w:t>
      </w:r>
      <w:r w:rsidRPr="0098484B">
        <w:rPr>
          <w:rFonts w:asciiTheme="minorHAnsi" w:hAnsiTheme="minorHAnsi" w:cstheme="minorHAnsi"/>
        </w:rPr>
        <w:t xml:space="preserve"> Très rustique, supporte bien le froid.</w:t>
      </w:r>
    </w:p>
    <w:p w14:paraId="77096877" w14:textId="77777777" w:rsidR="0094504A" w:rsidRPr="00715B1F" w:rsidRDefault="00856E21">
      <w:pPr>
        <w:pStyle w:val="MdHeading2"/>
        <w:rPr>
          <w:rFonts w:asciiTheme="minorHAnsi" w:hAnsiTheme="minorHAnsi" w:cstheme="minorHAnsi"/>
          <w:sz w:val="28"/>
          <w:szCs w:val="28"/>
        </w:rPr>
      </w:pPr>
      <w:r w:rsidRPr="00715B1F">
        <w:rPr>
          <w:rFonts w:asciiTheme="minorHAnsi" w:hAnsiTheme="minorHAnsi" w:cstheme="minorHAnsi"/>
          <w:sz w:val="28"/>
          <w:szCs w:val="28"/>
        </w:rPr>
        <w:t>Utilisation et Intérêt</w:t>
      </w:r>
    </w:p>
    <w:p w14:paraId="07EBAABB" w14:textId="44540B22" w:rsidR="0094504A" w:rsidRPr="0098484B" w:rsidRDefault="00856E21" w:rsidP="00715B1F">
      <w:pPr>
        <w:pStyle w:val="MdParagraph"/>
        <w:rPr>
          <w:rFonts w:asciiTheme="minorHAnsi" w:hAnsiTheme="minorHAnsi" w:cstheme="minorHAnsi"/>
        </w:rPr>
      </w:pPr>
      <w:r w:rsidRPr="0098484B">
        <w:rPr>
          <w:rFonts w:asciiTheme="minorHAnsi" w:hAnsiTheme="minorHAnsi" w:cstheme="minorHAnsi"/>
        </w:rPr>
        <w:t>Le sorbier des oiseleurs est un excellent arbre ornemental pour les jardins, les parcs ou en alignement. Ses baies sont utilisées pour faire des confitures, gelées ou liqueurs (toujours après cuisson). Il est très apprécié des oiseaux qui se nourrissent de ses fruits en automne et en hiver. C'est également une plante mellifère.</w:t>
      </w:r>
    </w:p>
    <w:p w14:paraId="1475CA0F" w14:textId="5D31CEC9" w:rsidR="0094504A" w:rsidRDefault="00856E21" w:rsidP="00715B1F">
      <w:pPr>
        <w:pStyle w:val="MdParagraph"/>
        <w:jc w:val="center"/>
      </w:pPr>
      <w:r>
        <w:rPr>
          <w:noProof/>
        </w:rPr>
        <w:lastRenderedPageBreak/>
        <w:drawing>
          <wp:inline distT="0" distB="0" distL="0" distR="0" wp14:anchorId="05D55634" wp14:editId="7EA3639F">
            <wp:extent cx="2848708" cy="2848708"/>
            <wp:effectExtent l="0" t="0" r="8890" b="8890"/>
            <wp:docPr id="1" name="Sorbier des Oiseleurs" descr="Sorbier des Oiseleurs" title="Sorbier des Oisel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
                    <a:srcRect/>
                    <a:stretch>
                      <a:fillRect/>
                    </a:stretch>
                  </pic:blipFill>
                  <pic:spPr bwMode="auto">
                    <a:xfrm>
                      <a:off x="0" y="0"/>
                      <a:ext cx="2856602" cy="2856602"/>
                    </a:xfrm>
                    <a:prstGeom prst="rect">
                      <a:avLst/>
                    </a:prstGeom>
                  </pic:spPr>
                </pic:pic>
              </a:graphicData>
            </a:graphic>
          </wp:inline>
        </w:drawing>
      </w:r>
    </w:p>
    <w:sectPr w:rsidR="0094504A">
      <w:pgSz w:w="11906" w:h="16838"/>
      <w:pgMar w:top="1440" w:right="1440" w:bottom="1440" w:left="1440" w:header="708" w:footer="70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C97FDF"/>
    <w:multiLevelType w:val="hybridMultilevel"/>
    <w:tmpl w:val="ABAA3ACE"/>
    <w:lvl w:ilvl="0" w:tplc="6E12000A">
      <w:start w:val="1"/>
      <w:numFmt w:val="bullet"/>
      <w:lvlText w:val="•"/>
      <w:lvlJc w:val="left"/>
      <w:pPr>
        <w:ind w:left="720" w:hanging="360"/>
      </w:pPr>
    </w:lvl>
    <w:lvl w:ilvl="1" w:tplc="F3083E3A">
      <w:start w:val="1"/>
      <w:numFmt w:val="bullet"/>
      <w:lvlText w:val="◦"/>
      <w:lvlJc w:val="left"/>
      <w:pPr>
        <w:ind w:left="1440" w:hanging="360"/>
      </w:pPr>
    </w:lvl>
    <w:lvl w:ilvl="2" w:tplc="C3CC2198">
      <w:start w:val="1"/>
      <w:numFmt w:val="bullet"/>
      <w:lvlText w:val="•"/>
      <w:lvlJc w:val="left"/>
      <w:pPr>
        <w:ind w:left="2160" w:hanging="360"/>
      </w:pPr>
    </w:lvl>
    <w:lvl w:ilvl="3" w:tplc="14B0276E">
      <w:start w:val="1"/>
      <w:numFmt w:val="bullet"/>
      <w:lvlText w:val="◦"/>
      <w:lvlJc w:val="left"/>
      <w:pPr>
        <w:ind w:left="2880" w:hanging="360"/>
      </w:pPr>
    </w:lvl>
    <w:lvl w:ilvl="4" w:tplc="212A9140">
      <w:start w:val="1"/>
      <w:numFmt w:val="bullet"/>
      <w:lvlText w:val="•"/>
      <w:lvlJc w:val="left"/>
      <w:pPr>
        <w:ind w:left="3600" w:hanging="360"/>
      </w:pPr>
    </w:lvl>
    <w:lvl w:ilvl="5" w:tplc="AF0629BC">
      <w:start w:val="1"/>
      <w:numFmt w:val="bullet"/>
      <w:lvlText w:val="◦"/>
      <w:lvlJc w:val="left"/>
      <w:pPr>
        <w:ind w:left="4320" w:hanging="360"/>
      </w:pPr>
    </w:lvl>
    <w:lvl w:ilvl="6" w:tplc="901AC010">
      <w:start w:val="1"/>
      <w:numFmt w:val="bullet"/>
      <w:lvlText w:val="•"/>
      <w:lvlJc w:val="left"/>
      <w:pPr>
        <w:ind w:left="5040" w:hanging="360"/>
      </w:pPr>
    </w:lvl>
    <w:lvl w:ilvl="7" w:tplc="B03C726C">
      <w:numFmt w:val="decimal"/>
      <w:lvlText w:val=""/>
      <w:lvlJc w:val="left"/>
    </w:lvl>
    <w:lvl w:ilvl="8" w:tplc="3CF4E2C0">
      <w:numFmt w:val="decimal"/>
      <w:lvlText w:val=""/>
      <w:lvlJc w:val="left"/>
    </w:lvl>
  </w:abstractNum>
  <w:abstractNum w:abstractNumId="1" w15:restartNumberingAfterBreak="0">
    <w:nsid w:val="36580009"/>
    <w:multiLevelType w:val="hybridMultilevel"/>
    <w:tmpl w:val="337804A8"/>
    <w:lvl w:ilvl="0" w:tplc="DC9254F2">
      <w:start w:val="1"/>
      <w:numFmt w:val="bullet"/>
      <w:lvlText w:val="●"/>
      <w:lvlJc w:val="left"/>
      <w:pPr>
        <w:ind w:left="720" w:hanging="360"/>
      </w:pPr>
    </w:lvl>
    <w:lvl w:ilvl="1" w:tplc="46CA073A">
      <w:start w:val="1"/>
      <w:numFmt w:val="bullet"/>
      <w:lvlText w:val="○"/>
      <w:lvlJc w:val="left"/>
      <w:pPr>
        <w:ind w:left="1440" w:hanging="360"/>
      </w:pPr>
    </w:lvl>
    <w:lvl w:ilvl="2" w:tplc="75CEE5DC">
      <w:start w:val="1"/>
      <w:numFmt w:val="bullet"/>
      <w:lvlText w:val="■"/>
      <w:lvlJc w:val="left"/>
      <w:pPr>
        <w:ind w:left="2160" w:hanging="360"/>
      </w:pPr>
    </w:lvl>
    <w:lvl w:ilvl="3" w:tplc="E382B45C">
      <w:start w:val="1"/>
      <w:numFmt w:val="bullet"/>
      <w:lvlText w:val="●"/>
      <w:lvlJc w:val="left"/>
      <w:pPr>
        <w:ind w:left="2880" w:hanging="360"/>
      </w:pPr>
    </w:lvl>
    <w:lvl w:ilvl="4" w:tplc="C60EA916">
      <w:start w:val="1"/>
      <w:numFmt w:val="bullet"/>
      <w:lvlText w:val="○"/>
      <w:lvlJc w:val="left"/>
      <w:pPr>
        <w:ind w:left="3600" w:hanging="360"/>
      </w:pPr>
    </w:lvl>
    <w:lvl w:ilvl="5" w:tplc="41D2830C">
      <w:start w:val="1"/>
      <w:numFmt w:val="bullet"/>
      <w:lvlText w:val="■"/>
      <w:lvlJc w:val="left"/>
      <w:pPr>
        <w:ind w:left="4320" w:hanging="360"/>
      </w:pPr>
    </w:lvl>
    <w:lvl w:ilvl="6" w:tplc="031CC20E">
      <w:start w:val="1"/>
      <w:numFmt w:val="bullet"/>
      <w:lvlText w:val="●"/>
      <w:lvlJc w:val="left"/>
      <w:pPr>
        <w:ind w:left="5040" w:hanging="360"/>
      </w:pPr>
    </w:lvl>
    <w:lvl w:ilvl="7" w:tplc="273A63D4">
      <w:start w:val="1"/>
      <w:numFmt w:val="bullet"/>
      <w:lvlText w:val="●"/>
      <w:lvlJc w:val="left"/>
      <w:pPr>
        <w:ind w:left="5760" w:hanging="360"/>
      </w:pPr>
    </w:lvl>
    <w:lvl w:ilvl="8" w:tplc="19A2C194">
      <w:start w:val="1"/>
      <w:numFmt w:val="bullet"/>
      <w:lvlText w:val="●"/>
      <w:lvlJc w:val="left"/>
      <w:pPr>
        <w:ind w:left="6480" w:hanging="360"/>
      </w:pPr>
    </w:lvl>
  </w:abstractNum>
  <w:abstractNum w:abstractNumId="2" w15:restartNumberingAfterBreak="0">
    <w:nsid w:val="69F17D5B"/>
    <w:multiLevelType w:val="multilevel"/>
    <w:tmpl w:val="D2FA674E"/>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1"/>
    <w:lvlOverride w:ilvl="0">
      <w:startOverride w:val="1"/>
    </w:lvlOverride>
  </w:num>
  <w:num w:numId="2">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displayBackgroundShape/>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504A"/>
    <w:rsid w:val="00715B1F"/>
    <w:rsid w:val="00856E21"/>
    <w:rsid w:val="0094504A"/>
    <w:rsid w:val="0098484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195FAC"/>
  <w15:docId w15:val="{1693F082-C85A-4519-B72F-0ADEA12DF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fr-BE" w:eastAsia="fr-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uiPriority w:val="9"/>
    <w:qFormat/>
    <w:pPr>
      <w:outlineLvl w:val="0"/>
    </w:pPr>
    <w:rPr>
      <w:color w:val="2E74B5"/>
      <w:sz w:val="32"/>
      <w:szCs w:val="32"/>
    </w:rPr>
  </w:style>
  <w:style w:type="paragraph" w:styleId="Titre2">
    <w:name w:val="heading 2"/>
    <w:uiPriority w:val="9"/>
    <w:unhideWhenUsed/>
    <w:qFormat/>
    <w:pPr>
      <w:outlineLvl w:val="1"/>
    </w:pPr>
    <w:rPr>
      <w:color w:val="2E74B5"/>
      <w:sz w:val="26"/>
      <w:szCs w:val="26"/>
    </w:rPr>
  </w:style>
  <w:style w:type="paragraph" w:styleId="Titre3">
    <w:name w:val="heading 3"/>
    <w:uiPriority w:val="9"/>
    <w:semiHidden/>
    <w:unhideWhenUsed/>
    <w:qFormat/>
    <w:pPr>
      <w:outlineLvl w:val="2"/>
    </w:pPr>
    <w:rPr>
      <w:color w:val="1F4D78"/>
    </w:rPr>
  </w:style>
  <w:style w:type="paragraph" w:styleId="Titre4">
    <w:name w:val="heading 4"/>
    <w:uiPriority w:val="9"/>
    <w:semiHidden/>
    <w:unhideWhenUsed/>
    <w:qFormat/>
    <w:pPr>
      <w:outlineLvl w:val="3"/>
    </w:pPr>
    <w:rPr>
      <w:i/>
      <w:iCs/>
      <w:color w:val="2E74B5"/>
    </w:rPr>
  </w:style>
  <w:style w:type="paragraph" w:styleId="Titre5">
    <w:name w:val="heading 5"/>
    <w:uiPriority w:val="9"/>
    <w:semiHidden/>
    <w:unhideWhenUsed/>
    <w:qFormat/>
    <w:pPr>
      <w:outlineLvl w:val="4"/>
    </w:pPr>
    <w:rPr>
      <w:color w:val="2E74B5"/>
    </w:rPr>
  </w:style>
  <w:style w:type="paragraph" w:styleId="Titre6">
    <w:name w:val="heading 6"/>
    <w:uiPriority w:val="9"/>
    <w:semiHidden/>
    <w:unhideWhenUsed/>
    <w:qFormat/>
    <w:pPr>
      <w:outlineLvl w:val="5"/>
    </w:pPr>
    <w:rPr>
      <w:color w:val="1F4D7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uiPriority w:val="10"/>
    <w:qFormat/>
    <w:rPr>
      <w:sz w:val="56"/>
      <w:szCs w:val="56"/>
    </w:rPr>
  </w:style>
  <w:style w:type="paragraph" w:customStyle="1" w:styleId="lev1">
    <w:name w:val="Élevé1"/>
    <w:qFormat/>
    <w:rPr>
      <w:b/>
      <w:bCs/>
    </w:rPr>
  </w:style>
  <w:style w:type="paragraph" w:styleId="Paragraphedeliste">
    <w:name w:val="List Paragraph"/>
    <w:qFormat/>
  </w:style>
  <w:style w:type="character" w:styleId="Lienhypertexte">
    <w:name w:val="Hyperlink"/>
    <w:uiPriority w:val="99"/>
    <w:unhideWhenUsed/>
    <w:rPr>
      <w:color w:val="0563C1"/>
      <w:u w:val="single" w:color="0563C1"/>
    </w:rPr>
  </w:style>
  <w:style w:type="character" w:styleId="Appelnotedebasdep">
    <w:name w:val="footnote reference"/>
    <w:uiPriority w:val="99"/>
    <w:semiHidden/>
    <w:unhideWhenUsed/>
    <w:rPr>
      <w:vertAlign w:val="superscript"/>
    </w:rPr>
  </w:style>
  <w:style w:type="paragraph" w:styleId="Notedebasdepage">
    <w:name w:val="footnote text"/>
    <w:link w:val="NotedebasdepageCar"/>
    <w:uiPriority w:val="99"/>
    <w:semiHidden/>
    <w:unhideWhenUsed/>
    <w:rPr>
      <w:sz w:val="20"/>
      <w:szCs w:val="20"/>
    </w:rPr>
  </w:style>
  <w:style w:type="character" w:customStyle="1" w:styleId="NotedebasdepageCar">
    <w:name w:val="Note de bas de page Car"/>
    <w:link w:val="Notedebasdepage"/>
    <w:uiPriority w:val="99"/>
    <w:semiHidden/>
    <w:unhideWhenUsed/>
    <w:rPr>
      <w:sz w:val="20"/>
      <w:szCs w:val="20"/>
    </w:rPr>
  </w:style>
  <w:style w:type="paragraph" w:customStyle="1" w:styleId="MdSpace">
    <w:name w:val="MdSpace"/>
    <w:qFormat/>
    <w:rPr>
      <w:sz w:val="12"/>
      <w:szCs w:val="12"/>
    </w:rPr>
  </w:style>
  <w:style w:type="paragraph" w:customStyle="1" w:styleId="MdCode">
    <w:name w:val="MdCode"/>
    <w:qFormat/>
    <w:pPr>
      <w:pBdr>
        <w:top w:val="single" w:sz="1" w:space="8" w:color="A5A5A5"/>
        <w:left w:val="single" w:sz="1" w:space="8" w:color="A5A5A5"/>
        <w:bottom w:val="single" w:sz="1" w:space="8" w:color="A5A5A5"/>
        <w:right w:val="single" w:sz="1" w:space="8" w:color="A5A5A5"/>
      </w:pBdr>
      <w:spacing w:before="200" w:after="200"/>
    </w:pPr>
    <w:rPr>
      <w:rFonts w:ascii="Courier New" w:eastAsia="Courier New" w:hAnsi="Courier New" w:cs="Courier New"/>
      <w:color w:val="70AD47"/>
      <w:sz w:val="22"/>
      <w:szCs w:val="22"/>
    </w:rPr>
  </w:style>
  <w:style w:type="paragraph" w:customStyle="1" w:styleId="MdHr">
    <w:name w:val="MdHr"/>
    <w:qFormat/>
    <w:pPr>
      <w:pBdr>
        <w:bottom w:val="single" w:sz="1" w:space="1" w:color="A5A5A5"/>
      </w:pBdr>
      <w:spacing w:before="240" w:after="240"/>
    </w:pPr>
  </w:style>
  <w:style w:type="paragraph" w:customStyle="1" w:styleId="MdBlockquote">
    <w:name w:val="MdBlockquote"/>
    <w:qFormat/>
    <w:pPr>
      <w:pBdr>
        <w:left w:val="single" w:sz="20" w:space="12" w:color="A5A5A5"/>
      </w:pBdr>
      <w:spacing w:before="200" w:after="200"/>
      <w:ind w:left="360"/>
    </w:pPr>
    <w:rPr>
      <w:i/>
      <w:iCs/>
      <w:color w:val="666666"/>
    </w:rPr>
  </w:style>
  <w:style w:type="paragraph" w:customStyle="1" w:styleId="MdHtml">
    <w:name w:val="MdHtml"/>
    <w:qFormat/>
    <w:rPr>
      <w:rFonts w:ascii="Courier New" w:eastAsia="Courier New" w:hAnsi="Courier New" w:cs="Courier New"/>
      <w:color w:val="ED7D31"/>
    </w:rPr>
  </w:style>
  <w:style w:type="paragraph" w:customStyle="1" w:styleId="MdDef">
    <w:name w:val="MdDef"/>
    <w:qFormat/>
    <w:pPr>
      <w:ind w:left="720" w:hanging="360"/>
    </w:pPr>
  </w:style>
  <w:style w:type="paragraph" w:customStyle="1" w:styleId="MdParagraph">
    <w:name w:val="MdParagraph"/>
    <w:qFormat/>
    <w:pPr>
      <w:spacing w:before="120" w:after="120"/>
    </w:pPr>
  </w:style>
  <w:style w:type="paragraph" w:customStyle="1" w:styleId="MdText">
    <w:name w:val="MdText"/>
    <w:qFormat/>
  </w:style>
  <w:style w:type="paragraph" w:customStyle="1" w:styleId="MdFootnote">
    <w:name w:val="MdFootnote"/>
    <w:qFormat/>
    <w:rPr>
      <w:vertAlign w:val="superscript"/>
    </w:rPr>
  </w:style>
  <w:style w:type="paragraph" w:customStyle="1" w:styleId="MdListItem">
    <w:name w:val="MdListItem"/>
    <w:qFormat/>
    <w:pPr>
      <w:spacing w:before="60" w:after="60"/>
      <w:ind w:left="720" w:hanging="360"/>
    </w:pPr>
  </w:style>
  <w:style w:type="paragraph" w:customStyle="1" w:styleId="MdTable">
    <w:name w:val="MdTable"/>
    <w:qFormat/>
    <w:pPr>
      <w:spacing w:before="60" w:after="60"/>
    </w:pPr>
  </w:style>
  <w:style w:type="paragraph" w:customStyle="1" w:styleId="MdTableHeader">
    <w:name w:val="MdTableHeader"/>
    <w:qFormat/>
    <w:pPr>
      <w:spacing w:before="60" w:after="60"/>
    </w:pPr>
    <w:rPr>
      <w:b/>
      <w:bCs/>
      <w:sz w:val="22"/>
      <w:szCs w:val="22"/>
    </w:rPr>
  </w:style>
  <w:style w:type="paragraph" w:customStyle="1" w:styleId="MdTableCell">
    <w:name w:val="MdTableCell"/>
    <w:qFormat/>
    <w:pPr>
      <w:spacing w:before="40" w:after="40"/>
    </w:pPr>
    <w:rPr>
      <w:sz w:val="20"/>
      <w:szCs w:val="20"/>
    </w:rPr>
  </w:style>
  <w:style w:type="paragraph" w:customStyle="1" w:styleId="MdHeading1">
    <w:name w:val="MdHeading1"/>
    <w:qFormat/>
    <w:pPr>
      <w:keepNext/>
      <w:spacing w:before="480" w:after="240"/>
      <w:outlineLvl w:val="0"/>
    </w:pPr>
    <w:rPr>
      <w:b/>
      <w:bCs/>
      <w:sz w:val="36"/>
      <w:szCs w:val="36"/>
    </w:rPr>
  </w:style>
  <w:style w:type="paragraph" w:customStyle="1" w:styleId="MdHeading2">
    <w:name w:val="MdHeading2"/>
    <w:qFormat/>
    <w:pPr>
      <w:keepNext/>
      <w:spacing w:before="400" w:after="200"/>
      <w:outlineLvl w:val="1"/>
    </w:pPr>
    <w:rPr>
      <w:b/>
      <w:bCs/>
      <w:sz w:val="32"/>
      <w:szCs w:val="32"/>
    </w:rPr>
  </w:style>
  <w:style w:type="paragraph" w:customStyle="1" w:styleId="MdHeading3">
    <w:name w:val="MdHeading3"/>
    <w:qFormat/>
    <w:pPr>
      <w:keepNext/>
      <w:spacing w:before="320" w:after="160"/>
      <w:outlineLvl w:val="2"/>
    </w:pPr>
    <w:rPr>
      <w:b/>
      <w:bCs/>
      <w:sz w:val="28"/>
      <w:szCs w:val="28"/>
    </w:rPr>
  </w:style>
  <w:style w:type="paragraph" w:customStyle="1" w:styleId="MdHeading4">
    <w:name w:val="MdHeading4"/>
    <w:qFormat/>
    <w:pPr>
      <w:keepNext/>
      <w:spacing w:before="280" w:after="140"/>
      <w:outlineLvl w:val="3"/>
    </w:pPr>
    <w:rPr>
      <w:b/>
      <w:bCs/>
      <w:sz w:val="26"/>
      <w:szCs w:val="26"/>
    </w:rPr>
  </w:style>
  <w:style w:type="paragraph" w:customStyle="1" w:styleId="MdHeading5">
    <w:name w:val="MdHeading5"/>
    <w:qFormat/>
    <w:pPr>
      <w:keepNext/>
      <w:spacing w:before="240" w:after="120"/>
      <w:outlineLvl w:val="4"/>
    </w:pPr>
    <w:rPr>
      <w:b/>
      <w:bCs/>
      <w:i/>
      <w:iCs/>
    </w:rPr>
  </w:style>
  <w:style w:type="paragraph" w:customStyle="1" w:styleId="MdHeading6">
    <w:name w:val="MdHeading6"/>
    <w:qFormat/>
    <w:pPr>
      <w:keepNext/>
      <w:spacing w:before="240" w:after="120"/>
      <w:outlineLvl w:val="5"/>
    </w:pPr>
    <w:rPr>
      <w:i/>
      <w:iCs/>
    </w:rPr>
  </w:style>
  <w:style w:type="character" w:customStyle="1" w:styleId="MdTag">
    <w:name w:val="MdTag"/>
    <w:uiPriority w:val="99"/>
    <w:unhideWhenUsed/>
    <w:qFormat/>
    <w:rPr>
      <w:rFonts w:ascii="Courier New" w:eastAsia="Courier New" w:hAnsi="Courier New" w:cs="Courier New"/>
      <w:color w:val="ED7D31"/>
    </w:rPr>
  </w:style>
  <w:style w:type="character" w:customStyle="1" w:styleId="MdLink">
    <w:name w:val="MdLink"/>
    <w:uiPriority w:val="99"/>
    <w:unhideWhenUsed/>
    <w:qFormat/>
    <w:rPr>
      <w:color w:val="0563C1"/>
      <w:u w:val="single"/>
    </w:rPr>
  </w:style>
  <w:style w:type="character" w:customStyle="1" w:styleId="MdStrong">
    <w:name w:val="MdStrong"/>
    <w:uiPriority w:val="99"/>
    <w:unhideWhenUsed/>
    <w:qFormat/>
    <w:rPr>
      <w:b/>
      <w:bCs/>
    </w:rPr>
  </w:style>
  <w:style w:type="character" w:customStyle="1" w:styleId="MdEm">
    <w:name w:val="MdEm"/>
    <w:uiPriority w:val="99"/>
    <w:unhideWhenUsed/>
    <w:qFormat/>
    <w:rPr>
      <w:i/>
      <w:iCs/>
    </w:rPr>
  </w:style>
  <w:style w:type="character" w:customStyle="1" w:styleId="MdCodespan">
    <w:name w:val="MdCodespan"/>
    <w:uiPriority w:val="99"/>
    <w:unhideWhenUsed/>
    <w:qFormat/>
    <w:rPr>
      <w:rFonts w:ascii="Courier New" w:eastAsia="Courier New" w:hAnsi="Courier New" w:cs="Courier New"/>
      <w:color w:val="70AD47"/>
    </w:rPr>
  </w:style>
  <w:style w:type="character" w:customStyle="1" w:styleId="MdDel">
    <w:name w:val="MdDel"/>
    <w:uiPriority w:val="99"/>
    <w:unhideWhenUsed/>
    <w:qFormat/>
    <w:rPr>
      <w:strike/>
    </w:rPr>
  </w:style>
  <w:style w:type="character" w:customStyle="1" w:styleId="MdBr">
    <w:name w:val="MdBr"/>
    <w:uiPriority w:val="99"/>
    <w:unhideWhenUsed/>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207</Words>
  <Characters>1142</Characters>
  <Application>Microsoft Office Word</Application>
  <DocSecurity>0</DocSecurity>
  <Lines>9</Lines>
  <Paragraphs>2</Paragraphs>
  <ScaleCrop>false</ScaleCrop>
  <Company/>
  <LinksUpToDate>false</LinksUpToDate>
  <CharactersWithSpaces>1347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Converted Document</dc:title>
  <dc:creator>md2docx converter</dc:creator>
  <dc:description>Converted from Markdown</dc:description>
  <cp:lastModifiedBy>Mélissa Magain</cp:lastModifiedBy>
  <cp:revision>4</cp:revision>
  <dcterms:created xsi:type="dcterms:W3CDTF">2025-09-25T11:52:00Z</dcterms:created>
  <dcterms:modified xsi:type="dcterms:W3CDTF">2025-09-25T12:28:00Z</dcterms:modified>
</cp:coreProperties>
</file>